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25</w:t>
      </w:r>
    </w:p>
    <w:p>
      <w:r>
        <w:t>Bundesgericht (BGE), 1978-05-08, DE</w:t>
      </w:r>
    </w:p>
    <w:p>
      <w:r>
        <w:rPr>
          <w:b/>
        </w:rPr>
        <w:t xml:space="preserve">Quelle: </w:t>
      </w:r>
      <w:r>
        <w:t>https://mcp.opencaselaw.ch/entscheid/bge_104 III 25</w:t>
      </w:r>
    </w:p>
    <w:p>
      <w:r>
        <w:t>FR: ATF 104 III 25</w:t>
      </w:r>
    </w:p>
    <w:p>
      <w:r>
        <w:t>IT: DTF 104 III 25</w:t>
      </w:r>
    </w:p>
    <w:p>
      <w:pPr>
        <w:pStyle w:val="Heading2"/>
      </w:pPr>
      <w:r>
        <w:t>Regeste</w:t>
      </w:r>
    </w:p>
    <w:p>
      <w:r>
        <w:t>Regeste Retentionsrecht des Vermieters. 1. Werden die in das Retentionsverzeichnis aufgenommenen Gegenstände von einem Dritten, der daran das Eigentum beansprucht, aus den Mieträumen entfernt, so kann der Vermieter jederzeit ihre Rückverbringung verlangen, ohne dass die Voraussetzungen von Art. 284 SchKG erfüllt sein müssten (E. 1). 2. Die Auseinandersetzung zwischen dem Vermieter und dem Drittansprecher darüber, ob der Eigentumsanspruch und das Retentionsrecht begründet seien und ob jener Anspruch dem Retentionsrecht vorgehe, hat im Widerspruchsverfahren zu erfolgen (E. 2).</w:t>
      </w:r>
    </w:p>
    <w:p>
      <w:pPr>
        <w:pStyle w:val="Heading2"/>
      </w:pPr>
      <w:r>
        <w:t>Erwägungen</w:t>
      </w:r>
    </w:p>
    <w:p>
      <w:r>
        <w:rPr>
          <w:b/>
        </w:rPr>
        <w:t>E. 1</w:t>
      </w:r>
    </w:p>
    <w:p>
      <w:r>
        <w:t>Die Aufnahme des Retentionsverzeichnisses hat zur Folge, dass der Retentionsbeschlag bestehen bleibt, auch wenn die retinierten Gegenstände aus den Mieträumen entfernt werden. Der Gläubiger kann jederzeit die Rückschaffung solcher Gegenstände verlangen, ohne an die in Art. 284 SchKG vorgesehene Frist von zehn Tagen gebunden zu sein und ohne dartun zu müssen, dass die Wegschaffung heimlich oder gewaltsam erfolgte. Art. 284 SchKG (und der entsprechende Art. 274 Abs. 2 OR ) ist nur anwendbar auf Gegenstände, die vor Aufnahme des Retentionsverzeichnisses fortgeschafft wurden ( BGE 97 III 80 , BGE 54 III 270 , BGE 31 I 338 ff.; SCHMID, N. 55 zu Art. 272-274 OR ). Es spielt daher keine Rolle, ob der Rekurrent die retinierten Autos heimlich abholte oder nicht. Unerheblich ist auch, ob ihm der Retentionsbeschlag bekannt war oder nicht. Er behauptet nicht, er habe nach der Aufnahme des Retentionsverzeichnisses gutgläubig das Eigentum an den Fahrzeugen erworben, sondern er macht geltend, er sei schon vorher Eigentümer gewesen. Ein solcher Anspruch steht aber der Pflicht zur Rückschaffung nicht BGE 104 III 25 S. 27 entgegen ( BGE 69 III 67 /68; SCHMID, N. 56 zu Art. 272-274 OR ; vgl. auch BGE 101 II 97 E. 3).</w:t>
      </w:r>
    </w:p>
    <w:p>
      <w:r>
        <w:rPr>
          <w:b/>
        </w:rPr>
        <w:t>E. 2</w:t>
      </w:r>
    </w:p>
    <w:p>
      <w:r>
        <w:t>Beansprucht ein Dritter an einer zugunsten des Vermieters retinierten Sache das Eigentum, so ist im Streitfall als Frage des materiellen Rechts vom Richter zu entscheiden, ob der Eigentumsanspruch und das Retentionsrecht begründet seien und ob jener Anspruch nach Art. 273 OR dem Retentionsrecht vorgehe. Und zwar hat die Auseinandersetzung zwischen dem Vermieter und dem Drittansprecher im Widerspruchsverfahren zu erfolgen ( BGE 96 III 69 , BGE 70 II 226 ff.; SCHMID, N. 71 zu Art. 272-274 OR ). Ob sich die retinierten Fahrzeuge in den vermieteten Räumen befanden und ob sie zu deren Einrichtung oder Benutzung gehörten, ist daher nicht von den Betreibungsbehörden im Beschwerdeverfahren, sondern vom Richter im Widerspruchsprozess zu beurteilen. Der Rekurs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